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8530C9">
        <w:t>22</w:t>
      </w:r>
      <w:r w:rsidR="00A52024">
        <w:t>.08</w:t>
      </w:r>
      <w:r w:rsidR="00DC241D">
        <w:t>.202</w:t>
      </w:r>
      <w:r w:rsidR="003A45C5">
        <w:t>3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Pr="003C2B64" w:rsidRDefault="000B3248" w:rsidP="000B3248">
      <w:pPr>
        <w:spacing w:after="0" w:line="240" w:lineRule="auto"/>
        <w:rPr>
          <w:b/>
        </w:rPr>
      </w:pPr>
      <w:r w:rsidRPr="003C2B64">
        <w:rPr>
          <w:b/>
        </w:rPr>
        <w:t>In.272.</w:t>
      </w:r>
      <w:r w:rsidR="003C2B64" w:rsidRPr="003C2B64">
        <w:rPr>
          <w:b/>
        </w:rPr>
        <w:t>19.1</w:t>
      </w:r>
      <w:r w:rsidR="00DC241D" w:rsidRPr="003C2B64">
        <w:rPr>
          <w:b/>
        </w:rPr>
        <w:t>.202</w:t>
      </w:r>
      <w:r w:rsidR="003C2B64">
        <w:rPr>
          <w:b/>
        </w:rPr>
        <w:t>3</w:t>
      </w:r>
    </w:p>
    <w:p w:rsidR="00C87039" w:rsidRPr="003C2B64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3C2B64" w:rsidRDefault="00C50275" w:rsidP="00C50275">
      <w:pPr>
        <w:spacing w:after="0" w:line="240" w:lineRule="auto"/>
        <w:ind w:left="720"/>
        <w:jc w:val="center"/>
      </w:pPr>
      <w:r w:rsidRPr="003C2B64">
        <w:rPr>
          <w:b/>
        </w:rPr>
        <w:t>ZAPYTANIE OFERTOWE</w:t>
      </w:r>
    </w:p>
    <w:p w:rsidR="00C50275" w:rsidRPr="003C2B64" w:rsidRDefault="00C50275" w:rsidP="00C50275">
      <w:pPr>
        <w:spacing w:line="240" w:lineRule="auto"/>
        <w:ind w:left="720"/>
        <w:jc w:val="center"/>
        <w:rPr>
          <w:b/>
        </w:rPr>
      </w:pPr>
      <w:bookmarkStart w:id="1" w:name="_Hlk64281981"/>
      <w:r w:rsidRPr="003C2B64">
        <w:rPr>
          <w:b/>
        </w:rPr>
        <w:t xml:space="preserve">w oparciu o wewnętrzny Regulamin udzielania zamówień, których wartość nie przekracza kwoty 130 000 zł netto stanowiący załącznik nr 1 do Zarządzenia Nr </w:t>
      </w:r>
      <w:r w:rsidR="004D1D60" w:rsidRPr="003C2B64">
        <w:rPr>
          <w:b/>
        </w:rPr>
        <w:t>65/2022</w:t>
      </w:r>
      <w:r w:rsidRPr="003C2B64">
        <w:rPr>
          <w:b/>
        </w:rPr>
        <w:t xml:space="preserve"> Burmistrza Chodcza </w:t>
      </w:r>
      <w:r w:rsidRPr="003C2B64">
        <w:rPr>
          <w:b/>
        </w:rPr>
        <w:br/>
        <w:t xml:space="preserve">z dnia </w:t>
      </w:r>
      <w:r w:rsidR="004D1D60" w:rsidRPr="003C2B64">
        <w:rPr>
          <w:b/>
        </w:rPr>
        <w:t>09.08.2022</w:t>
      </w:r>
      <w:r w:rsidRPr="003C2B64">
        <w:rPr>
          <w:b/>
        </w:rPr>
        <w:t xml:space="preserve"> r.</w:t>
      </w:r>
    </w:p>
    <w:bookmarkEnd w:id="0"/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3C2B64" w:rsidRPr="003C2B64">
        <w:rPr>
          <w:rFonts w:asciiTheme="minorHAnsi" w:hAnsiTheme="minorHAnsi" w:cs="Arial"/>
          <w:b/>
        </w:rPr>
        <w:t>zakup i</w:t>
      </w:r>
      <w:r w:rsidR="003C2B64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</w:t>
      </w:r>
      <w:r w:rsidR="003A45C5">
        <w:rPr>
          <w:rFonts w:asciiTheme="minorHAnsi" w:hAnsiTheme="minorHAnsi" w:cstheme="minorHAnsi"/>
          <w:b/>
        </w:rPr>
        <w:t>2023/2024</w:t>
      </w:r>
      <w:r w:rsidR="00A52024">
        <w:rPr>
          <w:rFonts w:asciiTheme="minorHAnsi" w:hAnsiTheme="minorHAnsi" w:cstheme="minorHAnsi"/>
          <w:b/>
        </w:rPr>
        <w:t>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Pr="003C2B64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C2B64">
        <w:t xml:space="preserve">Oferta powinna być dostarczona do dnia  </w:t>
      </w:r>
      <w:r w:rsidR="008530C9">
        <w:rPr>
          <w:b/>
        </w:rPr>
        <w:t>01.09</w:t>
      </w:r>
      <w:r w:rsidR="00DC241D" w:rsidRPr="003C2B64">
        <w:rPr>
          <w:b/>
        </w:rPr>
        <w:t>.202</w:t>
      </w:r>
      <w:r w:rsidR="003A45C5" w:rsidRPr="003C2B64">
        <w:rPr>
          <w:b/>
        </w:rPr>
        <w:t>3</w:t>
      </w:r>
      <w:r w:rsidRPr="003C2B64">
        <w:rPr>
          <w:b/>
        </w:rPr>
        <w:t xml:space="preserve"> r.</w:t>
      </w:r>
      <w:r w:rsidRPr="003C2B64">
        <w:t xml:space="preserve"> do godz. </w:t>
      </w:r>
      <w:r w:rsidR="003C2B64">
        <w:rPr>
          <w:b/>
        </w:rPr>
        <w:t>10</w:t>
      </w:r>
      <w:r w:rsidR="00C87039" w:rsidRPr="003C2B64">
        <w:rPr>
          <w:b/>
        </w:rPr>
        <w:t>:00</w:t>
      </w:r>
      <w:r w:rsidRPr="003C2B64">
        <w:t xml:space="preserve"> 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8530C9">
        <w:rPr>
          <w:b/>
          <w:bCs/>
        </w:rPr>
        <w:t>01.09</w:t>
      </w:r>
      <w:r w:rsidR="00DC241D">
        <w:rPr>
          <w:b/>
          <w:bCs/>
        </w:rPr>
        <w:t>.202</w:t>
      </w:r>
      <w:r w:rsidR="003A45C5">
        <w:rPr>
          <w:b/>
          <w:bCs/>
        </w:rPr>
        <w:t>3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8530C9">
        <w:rPr>
          <w:b/>
        </w:rPr>
        <w:t>11:00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3A45C5">
        <w:rPr>
          <w:b/>
        </w:rPr>
        <w:t>1</w:t>
      </w:r>
      <w:r w:rsidR="00A52024">
        <w:rPr>
          <w:b/>
        </w:rPr>
        <w:t>.09.202</w:t>
      </w:r>
      <w:r w:rsidR="003A45C5">
        <w:rPr>
          <w:b/>
        </w:rPr>
        <w:t>3</w:t>
      </w:r>
      <w:r w:rsidR="00A52024">
        <w:rPr>
          <w:b/>
        </w:rPr>
        <w:t xml:space="preserve"> r. do 31.07.202</w:t>
      </w:r>
      <w:r w:rsidR="003A45C5">
        <w:rPr>
          <w:b/>
        </w:rPr>
        <w:t>4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A52024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2024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Przedszkolu i Żłobku Samorządowym w Chodczu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>w roku szkolnym 202</w:t>
      </w:r>
      <w:r w:rsidR="003A45C5">
        <w:rPr>
          <w:rFonts w:asciiTheme="minorHAnsi" w:hAnsiTheme="minorHAnsi" w:cstheme="minorHAnsi"/>
          <w:b/>
          <w:sz w:val="28"/>
          <w:szCs w:val="28"/>
        </w:rPr>
        <w:t>3</w:t>
      </w:r>
      <w:r w:rsidRPr="00A52024">
        <w:rPr>
          <w:rFonts w:asciiTheme="minorHAnsi" w:hAnsiTheme="minorHAnsi" w:cstheme="minorHAnsi"/>
          <w:b/>
          <w:sz w:val="28"/>
          <w:szCs w:val="28"/>
        </w:rPr>
        <w:t>/202</w:t>
      </w:r>
      <w:r w:rsidR="003A45C5">
        <w:rPr>
          <w:rFonts w:asciiTheme="minorHAnsi" w:hAnsiTheme="minorHAnsi" w:cstheme="minorHAnsi"/>
          <w:b/>
          <w:sz w:val="28"/>
          <w:szCs w:val="28"/>
        </w:rPr>
        <w:t>4</w:t>
      </w:r>
      <w:r w:rsidRPr="00A52024">
        <w:rPr>
          <w:rFonts w:asciiTheme="minorHAnsi" w:hAnsiTheme="minorHAnsi" w:cstheme="minorHAnsi"/>
          <w:b/>
          <w:sz w:val="28"/>
          <w:szCs w:val="28"/>
        </w:rPr>
        <w:t>.</w:t>
      </w:r>
    </w:p>
    <w:p w:rsidR="00B978B9" w:rsidRDefault="00B978B9" w:rsidP="003C2B64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4957"/>
        <w:gridCol w:w="3019"/>
      </w:tblGrid>
      <w:tr w:rsidR="003A45C5" w:rsidRPr="003C2B64" w:rsidTr="005F4FF7">
        <w:trPr>
          <w:tblHeader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Ananas puszka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Suszone owoce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Brzoskwinie puszka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Budyń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Bułka tarta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buraczany Krakus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 suszone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Ciastka( biszkopty, herbatniki, chrupki kukurydziane, Pieguski Milka)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Cukier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1500kg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Dżem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Miód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Galaretka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Groszek konserwowy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 owocowa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300szt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Jaja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Jogurty/desery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Kakao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kiszona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320kg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 z kiszonej kapusty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jęczmienna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gryczana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jaglana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manna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Kawa Inka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Ketchup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Kisiel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 pomidorowy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Majeranek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Majonez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nitki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świderki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muszelka morska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falbanka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Zacierka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Mąka pszenna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 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Mleko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4000 l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kiszone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450 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Olej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220 l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kukurydziane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miodowe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czekoladowe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owsiane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 saszetki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biały półtłusty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570kg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topiony śmietankowy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Sosy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Sól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12%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36%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Wafle ryżowe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Vegeta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Woda źródlana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3A45C5" w:rsidRPr="003C2B64" w:rsidTr="005F4FF7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5" w:rsidRPr="003C2B64" w:rsidRDefault="003A45C5" w:rsidP="003A45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Żurek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C5" w:rsidRPr="003C2B64" w:rsidRDefault="003A45C5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</w:tbl>
    <w:p w:rsidR="00C50275" w:rsidRPr="00E664CF" w:rsidRDefault="00431A43" w:rsidP="003A45C5">
      <w:pPr>
        <w:suppressAutoHyphens w:val="0"/>
        <w:spacing w:after="160" w:line="259" w:lineRule="auto"/>
      </w:pPr>
      <w:r>
        <w:rPr>
          <w:b/>
        </w:rPr>
        <w:br w:type="page"/>
      </w:r>
      <w:r w:rsidR="00C50275"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 xml:space="preserve">W nawiązaniu do zapytania </w:t>
      </w:r>
      <w:r w:rsidRPr="003C2B64">
        <w:t xml:space="preserve">ofertowego, znak: </w:t>
      </w:r>
      <w:r w:rsidR="000B3248" w:rsidRPr="003C2B64">
        <w:rPr>
          <w:b/>
        </w:rPr>
        <w:t>In.272.</w:t>
      </w:r>
      <w:r w:rsidR="003C2B64" w:rsidRPr="003C2B64">
        <w:rPr>
          <w:b/>
        </w:rPr>
        <w:t>19.1.2023</w:t>
      </w:r>
      <w:r w:rsidR="00431A43" w:rsidRPr="003C2B64">
        <w:rPr>
          <w:b/>
        </w:rPr>
        <w:t xml:space="preserve"> </w:t>
      </w:r>
      <w:r w:rsidRPr="003C2B64">
        <w:rPr>
          <w:b/>
        </w:rPr>
        <w:t>z dnia</w:t>
      </w:r>
      <w:r w:rsidRPr="003C2B64">
        <w:t xml:space="preserve"> </w:t>
      </w:r>
      <w:r w:rsidR="008530C9">
        <w:rPr>
          <w:b/>
        </w:rPr>
        <w:t>22</w:t>
      </w:r>
      <w:r w:rsidR="00A52024" w:rsidRPr="003C2B64">
        <w:rPr>
          <w:b/>
          <w:bCs/>
        </w:rPr>
        <w:t>.08</w:t>
      </w:r>
      <w:r w:rsidR="00431A43" w:rsidRPr="003C2B64">
        <w:rPr>
          <w:b/>
          <w:bCs/>
        </w:rPr>
        <w:t>.202</w:t>
      </w:r>
      <w:r w:rsidR="003A45C5" w:rsidRPr="003C2B64">
        <w:rPr>
          <w:b/>
          <w:bCs/>
        </w:rPr>
        <w:t>3</w:t>
      </w:r>
      <w:r w:rsidRPr="003C2B64">
        <w:rPr>
          <w:b/>
        </w:rPr>
        <w:t xml:space="preserve"> r.</w:t>
      </w:r>
      <w:r w:rsidRPr="003C2B64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>z</w:t>
      </w:r>
      <w:r w:rsidR="00A52024" w:rsidRPr="003C2B64">
        <w:t xml:space="preserve">amówienia na </w:t>
      </w:r>
      <w:r w:rsidR="003C2B64" w:rsidRPr="003C2B64">
        <w:rPr>
          <w:b/>
        </w:rPr>
        <w:t>zakup i</w:t>
      </w:r>
      <w:r w:rsidR="003C2B64" w:rsidRPr="003C2B64">
        <w:t xml:space="preserve"> </w:t>
      </w:r>
      <w:r w:rsidR="00A52024" w:rsidRPr="003C2B64">
        <w:rPr>
          <w:rFonts w:asciiTheme="minorHAnsi" w:hAnsiTheme="minorHAnsi" w:cstheme="minorHAnsi"/>
          <w:b/>
        </w:rPr>
        <w:t xml:space="preserve">dostawę </w:t>
      </w:r>
      <w:r w:rsidR="00D81267" w:rsidRPr="003C2B64">
        <w:rPr>
          <w:rFonts w:asciiTheme="minorHAnsi" w:hAnsiTheme="minorHAnsi" w:cstheme="minorHAnsi"/>
          <w:b/>
        </w:rPr>
        <w:t>artykułów ogólnospożywczych</w:t>
      </w:r>
      <w:r w:rsidR="00A52024" w:rsidRPr="003C2B64">
        <w:rPr>
          <w:rFonts w:asciiTheme="minorHAnsi" w:hAnsiTheme="minorHAnsi" w:cstheme="minorHAnsi"/>
          <w:b/>
        </w:rPr>
        <w:t xml:space="preserve"> na potrzeby wyżywienia dzieci w Przedszkolu i Żłobku Samorządow</w:t>
      </w:r>
      <w:r w:rsidR="003A45C5" w:rsidRPr="003C2B64">
        <w:rPr>
          <w:rFonts w:asciiTheme="minorHAnsi" w:hAnsiTheme="minorHAnsi" w:cstheme="minorHAnsi"/>
          <w:b/>
        </w:rPr>
        <w:t xml:space="preserve">ym w Chodczu w roku szkolnym </w:t>
      </w:r>
      <w:r w:rsidR="00A52024" w:rsidRPr="003C2B64">
        <w:rPr>
          <w:rFonts w:asciiTheme="minorHAnsi" w:hAnsiTheme="minorHAnsi" w:cstheme="minorHAnsi"/>
          <w:b/>
        </w:rPr>
        <w:t>2023</w:t>
      </w:r>
      <w:r w:rsidR="003A45C5" w:rsidRPr="003C2B64">
        <w:rPr>
          <w:rFonts w:asciiTheme="minorHAnsi" w:hAnsiTheme="minorHAnsi" w:cstheme="minorHAnsi"/>
          <w:b/>
        </w:rPr>
        <w:t>/2024</w:t>
      </w:r>
      <w:r w:rsidR="00A52024" w:rsidRPr="003C2B64">
        <w:rPr>
          <w:rFonts w:asciiTheme="minorHAnsi" w:hAnsiTheme="minorHAnsi" w:cstheme="minorHAnsi"/>
          <w:b/>
        </w:rPr>
        <w:t xml:space="preserve">, </w:t>
      </w:r>
      <w:r w:rsidRPr="003C2B64">
        <w:rPr>
          <w:rFonts w:asciiTheme="minorHAnsi" w:hAnsiTheme="minorHAnsi"/>
        </w:rPr>
        <w:t>oferuję</w:t>
      </w:r>
      <w:r w:rsidRPr="003C2B64">
        <w:rPr>
          <w:rFonts w:asciiTheme="minorHAnsi" w:hAnsiTheme="minorHAnsi"/>
          <w:vertAlign w:val="superscript"/>
        </w:rPr>
        <w:t xml:space="preserve"> </w:t>
      </w:r>
      <w:r w:rsidRPr="003C2B64">
        <w:rPr>
          <w:rFonts w:asciiTheme="minorHAnsi" w:hAnsiTheme="minorHAnsi"/>
        </w:rPr>
        <w:t>wykonanie</w:t>
      </w:r>
      <w:r w:rsidRPr="003C2B64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Style w:val="Tabela-Siatka"/>
        <w:tblW w:w="5268" w:type="pct"/>
        <w:jc w:val="center"/>
        <w:tblLook w:val="04A0" w:firstRow="1" w:lastRow="0" w:firstColumn="1" w:lastColumn="0" w:noHBand="0" w:noVBand="1"/>
      </w:tblPr>
      <w:tblGrid>
        <w:gridCol w:w="1047"/>
        <w:gridCol w:w="3031"/>
        <w:gridCol w:w="974"/>
        <w:gridCol w:w="1280"/>
        <w:gridCol w:w="1075"/>
        <w:gridCol w:w="1077"/>
        <w:gridCol w:w="1064"/>
      </w:tblGrid>
      <w:tr w:rsidR="00A52024" w:rsidRPr="003C2B64" w:rsidTr="005F4FF7">
        <w:trPr>
          <w:tblHeader/>
          <w:jc w:val="center"/>
        </w:trPr>
        <w:tc>
          <w:tcPr>
            <w:tcW w:w="549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670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63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64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57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A52024" w:rsidRPr="003C2B64" w:rsidTr="005F4FF7">
        <w:trPr>
          <w:jc w:val="center"/>
        </w:trPr>
        <w:tc>
          <w:tcPr>
            <w:tcW w:w="549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63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64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57" w:type="pct"/>
            <w:vAlign w:val="center"/>
          </w:tcPr>
          <w:p w:rsidR="00A52024" w:rsidRPr="003C2B64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C2B64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Ananas puszka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Suszone owoce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3kg</w:t>
            </w:r>
          </w:p>
        </w:tc>
        <w:tc>
          <w:tcPr>
            <w:tcW w:w="670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Brzoskwinie puszka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  <w:tc>
          <w:tcPr>
            <w:tcW w:w="670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Budyń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Bułka tarta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buraczany Krakus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 suszone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Ciastka( biszkopty, herbatniki, chrupki kukurydziane, Pieguski Milka)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Cukier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Dżem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Miód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Galaretka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Groszek konserwowy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 owocowa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300szt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Jaja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Jogurty/desery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Kakao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kiszona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320kg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 z kiszonej kapusty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jęczmienna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gryczana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jaglana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manna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Kawa Inka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Ketchup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Kisiel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 pomidorowy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Majeranek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Majonez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nitki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świderki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muszelka morska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falbanka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Zacierka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Mąka pszenna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Mleko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4000 l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kiszone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450 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Olej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220 l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kukurydziane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miodowe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czekoladowe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owsiane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 saszetki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biały półtłusty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570kg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topiony śmietankowy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Sosy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Sól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12%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36%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Wafle ryżowe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Vegeta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Woda źródlana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Żurek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4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4FF7" w:rsidRPr="003C2B64" w:rsidTr="005F4FF7">
        <w:trPr>
          <w:jc w:val="center"/>
        </w:trPr>
        <w:tc>
          <w:tcPr>
            <w:tcW w:w="2646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C2B64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147CF4">
        <w:rPr>
          <w:b/>
        </w:rPr>
        <w:t>1</w:t>
      </w:r>
      <w:r w:rsidR="00A52024">
        <w:rPr>
          <w:b/>
        </w:rPr>
        <w:t>.09.202</w:t>
      </w:r>
      <w:r w:rsidR="00147CF4">
        <w:rPr>
          <w:b/>
        </w:rPr>
        <w:t>3</w:t>
      </w:r>
      <w:r w:rsidR="00A52024">
        <w:rPr>
          <w:b/>
        </w:rPr>
        <w:t xml:space="preserve"> r. do 31.07.202</w:t>
      </w:r>
      <w:r w:rsidR="00147CF4">
        <w:rPr>
          <w:b/>
        </w:rPr>
        <w:t>4</w:t>
      </w:r>
      <w:r w:rsidR="00A52024">
        <w:rPr>
          <w:b/>
        </w:rPr>
        <w:t xml:space="preserve">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3C2B64">
        <w:rPr>
          <w:rFonts w:asciiTheme="minorHAnsi" w:hAnsiTheme="minorHAnsi" w:cstheme="minorHAnsi"/>
          <w:b/>
          <w:bCs/>
          <w:color w:val="auto"/>
        </w:rPr>
        <w:t>19.1.2023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80890" w:rsidRPr="00C621F4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zwana dalej </w:t>
      </w:r>
      <w:r w:rsidRPr="00B36399">
        <w:rPr>
          <w:rFonts w:asciiTheme="minorHAnsi" w:hAnsiTheme="minorHAnsi" w:cstheme="minorHAnsi"/>
          <w:b/>
        </w:rPr>
        <w:t>„Umową”</w:t>
      </w:r>
      <w:r w:rsidRPr="00B36399">
        <w:rPr>
          <w:rFonts w:asciiTheme="minorHAnsi" w:hAnsiTheme="minorHAnsi" w:cstheme="minorHAnsi"/>
        </w:rPr>
        <w:t xml:space="preserve"> w wyniku przeprowadzonego </w:t>
      </w:r>
      <w:r>
        <w:rPr>
          <w:rFonts w:asciiTheme="minorHAnsi" w:hAnsiTheme="minorHAnsi" w:cstheme="minorHAnsi"/>
        </w:rPr>
        <w:t xml:space="preserve">rozeznania rynku </w:t>
      </w:r>
      <w:r w:rsidRPr="00C621F4">
        <w:rPr>
          <w:rFonts w:asciiTheme="minorHAnsi" w:hAnsiTheme="minorHAnsi" w:cstheme="minorHAnsi"/>
        </w:rPr>
        <w:t xml:space="preserve">w oparciu o wewnętrzny Regulamin udzielania zamówień, których wartość nie przekracza kwoty 130 000 zł netto stanowiący załącznik nr 1 do Zarządzenia Nr </w:t>
      </w:r>
      <w:r w:rsidR="004D1D60">
        <w:rPr>
          <w:rFonts w:asciiTheme="minorHAnsi" w:hAnsiTheme="minorHAnsi" w:cstheme="minorHAnsi"/>
        </w:rPr>
        <w:t>65/2022</w:t>
      </w:r>
      <w:r w:rsidRPr="00C621F4">
        <w:rPr>
          <w:rFonts w:asciiTheme="minorHAnsi" w:hAnsiTheme="minorHAnsi" w:cstheme="minorHAnsi"/>
        </w:rPr>
        <w:t xml:space="preserve"> Burmistrza Chodcza z dnia </w:t>
      </w:r>
      <w:r w:rsidR="004D1D60">
        <w:rPr>
          <w:rFonts w:asciiTheme="minorHAnsi" w:hAnsiTheme="minorHAnsi" w:cstheme="minorHAnsi"/>
        </w:rPr>
        <w:t>09.08.2022</w:t>
      </w:r>
      <w:r w:rsidRPr="00C621F4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3C2B64" w:rsidRPr="003C2B64">
        <w:rPr>
          <w:rFonts w:asciiTheme="minorHAnsi" w:hAnsiTheme="minorHAnsi" w:cstheme="minorHAnsi"/>
          <w:b/>
          <w:bCs/>
        </w:rPr>
        <w:t>zakup i</w:t>
      </w:r>
      <w:r w:rsidR="003C2B64">
        <w:rPr>
          <w:rFonts w:asciiTheme="minorHAnsi" w:hAnsiTheme="minorHAnsi" w:cstheme="minorHAnsi"/>
          <w:bCs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</w:t>
      </w:r>
      <w:r w:rsidR="003C2B64">
        <w:rPr>
          <w:rFonts w:asciiTheme="minorHAnsi" w:hAnsiTheme="minorHAnsi" w:cstheme="minorHAnsi"/>
          <w:b/>
        </w:rPr>
        <w:t>2023/2024</w:t>
      </w:r>
      <w:r>
        <w:rPr>
          <w:rFonts w:asciiTheme="minorHAnsi" w:hAnsiTheme="minorHAnsi" w:cstheme="minorHAnsi"/>
          <w:b/>
        </w:rPr>
        <w:t>.</w:t>
      </w:r>
    </w:p>
    <w:p w:rsidR="00380890" w:rsidRPr="003C2B64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:rsidR="00380890" w:rsidRDefault="00380890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040"/>
        <w:gridCol w:w="1338"/>
      </w:tblGrid>
      <w:tr w:rsidR="003C2B64" w:rsidRPr="003C2B64" w:rsidTr="003C2B64">
        <w:trPr>
          <w:tblHeader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4" w:rsidRPr="003C2B64" w:rsidRDefault="003C2B64" w:rsidP="0047498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Ananas puszka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 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Suszone owoce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Brzoskwinie puszka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Budyń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Bułka tarta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buraczany Krakus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Buraki suszone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Ciastka( biszkopty, herbatniki, chrupki kukurydziane, Pieguski Milka)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Cukier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1500kg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Dżem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Miód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Galaretka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200szt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Groszek konserwowy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65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Herbata owocowa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300szt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Jogurty/desery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Kakao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180szt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Kapusta kiszona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320kg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 z kiszonej kapusty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160szt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jęczmienna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gryczana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jaglana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Kasza manna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40szt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Kawa Inka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Ketchup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Kisiel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Koncentrat  pomidorowy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Majeranek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Majonez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nitki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świderki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muszelka morska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320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Makaron falbanka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Zacierka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130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Mąka pszenna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 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Mleko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4000 l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Ogórki kiszone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450 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Olej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220 l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kukurydziane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180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miodowe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czekoladowe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Płatki owsiane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Przyprawy suche(pieprz, pieprz cytrynowy, ziele ang., liść laurowy, przyprawa do mięs, do indyka, do kurczaka, oregano)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700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 saszetki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Ryż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15kg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biały półtłusty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570kg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Ser topiony śmietankowy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500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Sosy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Sól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12%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Śmietana 36%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160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Wafle ryżowe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Vegeta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140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Woda źródlana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400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5F4FF7" w:rsidRPr="003C2B64" w:rsidTr="005F4FF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pStyle w:val="Akapitzlist"/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>Żurek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3C2B64" w:rsidRDefault="005F4FF7" w:rsidP="005F4FF7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C2B64">
              <w:rPr>
                <w:rFonts w:asciiTheme="minorHAnsi" w:hAnsiTheme="minorHAnsi" w:cstheme="minorHAnsi"/>
                <w:sz w:val="22"/>
              </w:rPr>
              <w:t xml:space="preserve">150 </w:t>
            </w:r>
            <w:proofErr w:type="spellStart"/>
            <w:r w:rsidRPr="003C2B64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</w:tbl>
    <w:p w:rsidR="003C2B64" w:rsidRPr="00C621F4" w:rsidRDefault="003C2B64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</w:t>
      </w:r>
      <w:r w:rsidRPr="00B36399">
        <w:rPr>
          <w:rFonts w:eastAsia="Times New Roman" w:cstheme="minorHAnsi"/>
        </w:rPr>
        <w:lastRenderedPageBreak/>
        <w:t>od daty dostarczenia, z wyjątkiem mięsa, jaj kurzych oraz mleka i produktów mleczarskich, które winny być dostarczane świeże.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3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4D1D60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.09.2022 r. do dnia 31.07.2023 r.</w:t>
      </w:r>
    </w:p>
    <w:bookmarkEnd w:id="3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Joanna Osowska</w:t>
      </w:r>
      <w:r w:rsidRPr="00B36399">
        <w:rPr>
          <w:rFonts w:asciiTheme="minorHAnsi" w:hAnsiTheme="minorHAnsi" w:cstheme="minorHAnsi"/>
          <w:color w:val="000000"/>
        </w:rPr>
        <w:t xml:space="preserve">, telefon: </w:t>
      </w:r>
      <w:r>
        <w:rPr>
          <w:rFonts w:asciiTheme="minorHAnsi" w:hAnsiTheme="minorHAnsi" w:cstheme="minorHAnsi"/>
          <w:color w:val="000000"/>
        </w:rPr>
        <w:t>575-364-226</w:t>
      </w:r>
      <w:r w:rsidRPr="00B36399">
        <w:rPr>
          <w:rFonts w:asciiTheme="minorHAnsi" w:hAnsiTheme="minorHAnsi" w:cstheme="minorHAnsi"/>
          <w:color w:val="000000"/>
        </w:rPr>
        <w:t xml:space="preserve">, e-mail: </w:t>
      </w:r>
      <w:hyperlink r:id="rId11" w:history="1">
        <w:r w:rsidRPr="00F26A81">
          <w:rPr>
            <w:rStyle w:val="Hipercze"/>
            <w:rFonts w:asciiTheme="minorHAnsi" w:hAnsiTheme="minorHAnsi" w:cstheme="minorHAnsi"/>
          </w:rPr>
          <w:t>przedszkolechodecz@gmail.com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4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4"/>
    <w:p w:rsidR="003C2B64" w:rsidRPr="005F4FF7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</w:t>
      </w:r>
      <w:r w:rsidR="005F4FF7" w:rsidRPr="00380890">
        <w:rPr>
          <w:rFonts w:asciiTheme="minorHAnsi" w:hAnsiTheme="minorHAnsi" w:cstheme="minorHAnsi"/>
          <w:b/>
          <w:bCs/>
          <w:sz w:val="22"/>
          <w:szCs w:val="22"/>
        </w:rPr>
        <w:t>przez cały okres trwania umowy</w:t>
      </w:r>
      <w:r w:rsidR="005F4FF7"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po cenach jednostkowych </w:t>
      </w:r>
      <w:r w:rsidR="005F4FF7">
        <w:rPr>
          <w:rFonts w:asciiTheme="minorHAnsi" w:hAnsiTheme="minorHAnsi" w:cstheme="minorHAnsi"/>
          <w:b/>
          <w:bCs/>
          <w:sz w:val="22"/>
          <w:szCs w:val="22"/>
        </w:rPr>
        <w:t>określonych w swojej ofercie stanowiącej załącznik nr 1 do niniejszej umowy.</w:t>
      </w:r>
    </w:p>
    <w:p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5"/>
    <w:p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lastRenderedPageBreak/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NIP: </w:t>
      </w:r>
      <w:r w:rsidRPr="00B36399">
        <w:rPr>
          <w:rFonts w:cstheme="minorHAnsi"/>
        </w:rPr>
        <w:t>888313134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z przedłożonych do zapłaty faktur. W przypadku braku pokrycia nałożonych kar umownych</w:t>
      </w:r>
      <w:r w:rsidR="004B5008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w kwotach pozostałych do zapłaty, Wykonawca zobowiązany jest do uregulowania kary umownej lub jej nie potrąconej części w terminie 14 dni od dnia nałożenia.</w:t>
      </w:r>
    </w:p>
    <w:p w:rsidR="00380890" w:rsidRPr="004B5008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B5008">
        <w:rPr>
          <w:rStyle w:val="Wyrnienie"/>
          <w:rFonts w:asciiTheme="minorHAnsi" w:hAnsiTheme="minorHAnsi" w:cstheme="minorHAnsi"/>
          <w:i w:val="0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4D1D60" w:rsidRPr="00B36399" w:rsidRDefault="004D1D60" w:rsidP="004D1D60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4D1D60" w:rsidRPr="007800B4" w:rsidRDefault="004D1D60" w:rsidP="004D1D60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</w:t>
      </w:r>
      <w:r w:rsidRPr="007800B4">
        <w:rPr>
          <w:rFonts w:asciiTheme="minorHAnsi" w:hAnsiTheme="minorHAnsi" w:cstheme="minorHAnsi"/>
        </w:rPr>
        <w:lastRenderedPageBreak/>
        <w:t>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6" w:name="_GoBack"/>
      <w:bookmarkEnd w:id="6"/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</w:t>
      </w:r>
      <w:r w:rsidRPr="00B36399">
        <w:rPr>
          <w:rFonts w:asciiTheme="minorHAnsi" w:hAnsiTheme="minorHAnsi" w:cstheme="minorHAnsi"/>
        </w:rPr>
        <w:lastRenderedPageBreak/>
        <w:t xml:space="preserve">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C2B64" w:rsidRPr="00B36399" w:rsidRDefault="003C2B64" w:rsidP="003C2B64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C2B64" w:rsidRDefault="003C2B64" w:rsidP="00380890">
      <w:pPr>
        <w:pStyle w:val="Stopka1"/>
        <w:jc w:val="both"/>
        <w:rPr>
          <w:rFonts w:asciiTheme="minorHAnsi" w:hAnsiTheme="minorHAnsi" w:cstheme="minorHAnsi"/>
        </w:rPr>
      </w:pPr>
    </w:p>
    <w:p w:rsidR="003C2B64" w:rsidRDefault="003C2B64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C50275">
      <w:r>
        <w:t>1. Oferta dostawcy</w:t>
      </w:r>
    </w:p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8A" w:rsidRDefault="008C008A">
      <w:pPr>
        <w:spacing w:after="0" w:line="240" w:lineRule="auto"/>
      </w:pPr>
      <w:r>
        <w:separator/>
      </w:r>
    </w:p>
  </w:endnote>
  <w:endnote w:type="continuationSeparator" w:id="0">
    <w:p w:rsidR="008C008A" w:rsidRDefault="008C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3A45C5" w:rsidRDefault="003A4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F4">
          <w:rPr>
            <w:noProof/>
          </w:rPr>
          <w:t>2</w:t>
        </w:r>
        <w:r>
          <w:fldChar w:fldCharType="end"/>
        </w:r>
      </w:p>
    </w:sdtContent>
  </w:sdt>
  <w:p w:rsidR="003A45C5" w:rsidRDefault="003A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8A" w:rsidRDefault="008C008A">
      <w:pPr>
        <w:spacing w:after="0" w:line="240" w:lineRule="auto"/>
      </w:pPr>
      <w:r>
        <w:separator/>
      </w:r>
    </w:p>
  </w:footnote>
  <w:footnote w:type="continuationSeparator" w:id="0">
    <w:p w:rsidR="008C008A" w:rsidRDefault="008C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C5" w:rsidRDefault="003A45C5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4F3454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B0234B"/>
    <w:multiLevelType w:val="multilevel"/>
    <w:tmpl w:val="485C48FE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B13DCA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392B2F"/>
    <w:multiLevelType w:val="multilevel"/>
    <w:tmpl w:val="B84CAB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016E21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54E0D"/>
    <w:multiLevelType w:val="multilevel"/>
    <w:tmpl w:val="B9B2774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8E65B6"/>
    <w:multiLevelType w:val="hybridMultilevel"/>
    <w:tmpl w:val="E5CE9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106AE"/>
    <w:multiLevelType w:val="multilevel"/>
    <w:tmpl w:val="E2962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3"/>
  </w:num>
  <w:num w:numId="2">
    <w:abstractNumId w:val="35"/>
  </w:num>
  <w:num w:numId="3">
    <w:abstractNumId w:val="20"/>
  </w:num>
  <w:num w:numId="4">
    <w:abstractNumId w:val="3"/>
  </w:num>
  <w:num w:numId="5">
    <w:abstractNumId w:val="18"/>
  </w:num>
  <w:num w:numId="6">
    <w:abstractNumId w:val="14"/>
  </w:num>
  <w:num w:numId="7">
    <w:abstractNumId w:val="29"/>
  </w:num>
  <w:num w:numId="8">
    <w:abstractNumId w:val="12"/>
  </w:num>
  <w:num w:numId="9">
    <w:abstractNumId w:val="2"/>
  </w:num>
  <w:num w:numId="10">
    <w:abstractNumId w:val="22"/>
  </w:num>
  <w:num w:numId="11">
    <w:abstractNumId w:val="0"/>
  </w:num>
  <w:num w:numId="12">
    <w:abstractNumId w:val="15"/>
  </w:num>
  <w:num w:numId="13">
    <w:abstractNumId w:val="10"/>
  </w:num>
  <w:num w:numId="14">
    <w:abstractNumId w:val="26"/>
  </w:num>
  <w:num w:numId="15">
    <w:abstractNumId w:val="36"/>
  </w:num>
  <w:num w:numId="16">
    <w:abstractNumId w:val="7"/>
  </w:num>
  <w:num w:numId="17">
    <w:abstractNumId w:val="40"/>
  </w:num>
  <w:num w:numId="18">
    <w:abstractNumId w:val="25"/>
  </w:num>
  <w:num w:numId="19">
    <w:abstractNumId w:val="41"/>
  </w:num>
  <w:num w:numId="20">
    <w:abstractNumId w:val="1"/>
  </w:num>
  <w:num w:numId="21">
    <w:abstractNumId w:val="4"/>
  </w:num>
  <w:num w:numId="22">
    <w:abstractNumId w:val="11"/>
  </w:num>
  <w:num w:numId="23">
    <w:abstractNumId w:val="34"/>
  </w:num>
  <w:num w:numId="24">
    <w:abstractNumId w:val="31"/>
  </w:num>
  <w:num w:numId="25">
    <w:abstractNumId w:val="23"/>
  </w:num>
  <w:num w:numId="26">
    <w:abstractNumId w:val="9"/>
  </w:num>
  <w:num w:numId="27">
    <w:abstractNumId w:val="39"/>
  </w:num>
  <w:num w:numId="28">
    <w:abstractNumId w:val="13"/>
  </w:num>
  <w:num w:numId="29">
    <w:abstractNumId w:val="27"/>
  </w:num>
  <w:num w:numId="30">
    <w:abstractNumId w:val="37"/>
  </w:num>
  <w:num w:numId="31">
    <w:abstractNumId w:val="30"/>
  </w:num>
  <w:num w:numId="32">
    <w:abstractNumId w:val="16"/>
  </w:num>
  <w:num w:numId="33">
    <w:abstractNumId w:val="19"/>
  </w:num>
  <w:num w:numId="34">
    <w:abstractNumId w:val="5"/>
  </w:num>
  <w:num w:numId="35">
    <w:abstractNumId w:val="21"/>
  </w:num>
  <w:num w:numId="36">
    <w:abstractNumId w:val="32"/>
  </w:num>
  <w:num w:numId="37">
    <w:abstractNumId w:val="8"/>
  </w:num>
  <w:num w:numId="38">
    <w:abstractNumId w:val="24"/>
  </w:num>
  <w:num w:numId="39">
    <w:abstractNumId w:val="6"/>
  </w:num>
  <w:num w:numId="40">
    <w:abstractNumId w:val="38"/>
  </w:num>
  <w:num w:numId="41">
    <w:abstractNumId w:val="2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147CF4"/>
    <w:rsid w:val="001778DF"/>
    <w:rsid w:val="001C472C"/>
    <w:rsid w:val="001F3B5A"/>
    <w:rsid w:val="00257BA9"/>
    <w:rsid w:val="00301F2D"/>
    <w:rsid w:val="00356028"/>
    <w:rsid w:val="00365822"/>
    <w:rsid w:val="00380890"/>
    <w:rsid w:val="0039453D"/>
    <w:rsid w:val="00397244"/>
    <w:rsid w:val="003A45C5"/>
    <w:rsid w:val="003C2B64"/>
    <w:rsid w:val="003D3543"/>
    <w:rsid w:val="00431A43"/>
    <w:rsid w:val="004B5008"/>
    <w:rsid w:val="004D1D60"/>
    <w:rsid w:val="00546987"/>
    <w:rsid w:val="005F4FF7"/>
    <w:rsid w:val="00621DDB"/>
    <w:rsid w:val="00641C91"/>
    <w:rsid w:val="0068332F"/>
    <w:rsid w:val="007A420A"/>
    <w:rsid w:val="007E5824"/>
    <w:rsid w:val="00831A8F"/>
    <w:rsid w:val="008530C9"/>
    <w:rsid w:val="0086173B"/>
    <w:rsid w:val="00863ACB"/>
    <w:rsid w:val="008C008A"/>
    <w:rsid w:val="008E61E7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8B9"/>
    <w:rsid w:val="00C02A34"/>
    <w:rsid w:val="00C03D3C"/>
    <w:rsid w:val="00C50275"/>
    <w:rsid w:val="00C85F8B"/>
    <w:rsid w:val="00C87039"/>
    <w:rsid w:val="00CE1771"/>
    <w:rsid w:val="00D45B3A"/>
    <w:rsid w:val="00D731C4"/>
    <w:rsid w:val="00D81267"/>
    <w:rsid w:val="00DC241D"/>
    <w:rsid w:val="00EC2E8A"/>
    <w:rsid w:val="00EC5067"/>
    <w:rsid w:val="00F350FC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4512"/>
  <w15:docId w15:val="{4BBFC7F6-7F41-49AD-BCAC-A46208F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dszkole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4036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Szadkowska</cp:lastModifiedBy>
  <cp:revision>4</cp:revision>
  <cp:lastPrinted>2021-03-15T11:29:00Z</cp:lastPrinted>
  <dcterms:created xsi:type="dcterms:W3CDTF">2023-08-28T09:37:00Z</dcterms:created>
  <dcterms:modified xsi:type="dcterms:W3CDTF">2023-08-28T09:42:00Z</dcterms:modified>
</cp:coreProperties>
</file>